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2f5ca88abb5327237313ea940aa96ff6a09e7b1"/>
    <w:p>
      <w:pPr>
        <w:pStyle w:val="Heading1"/>
      </w:pPr>
      <w:r>
        <w:t xml:space="preserve">QMS Customization Information Questionnaire</w:t>
      </w:r>
    </w:p>
    <w:bookmarkStart w:id="20" w:name="purpose"/>
    <w:p>
      <w:pPr>
        <w:pStyle w:val="Heading2"/>
      </w:pPr>
      <w:r>
        <w:t xml:space="preserve">Purpose</w:t>
      </w:r>
    </w:p>
    <w:p>
      <w:pPr>
        <w:pStyle w:val="FirstParagraph"/>
      </w:pPr>
      <w:r>
        <w:t xml:space="preserve">This questionnaire is designed to collect the information needed to tailor the generic Quality Management System (QMS) template to your organization. The answers will allow us to customize each procedure, form and record so they reflect your business processes, risks and context. Please provide clear and concise information and identify any areas that are not applicable.</w:t>
      </w:r>
    </w:p>
    <w:bookmarkEnd w:id="20"/>
    <w:bookmarkStart w:id="21" w:name="information-required"/>
    <w:p>
      <w:pPr>
        <w:pStyle w:val="Heading2"/>
      </w:pPr>
      <w:r>
        <w:t xml:space="preserve">Information Required</w:t>
      </w:r>
    </w:p>
    <w:p>
      <w:pPr>
        <w:numPr>
          <w:ilvl w:val="0"/>
          <w:numId w:val="1001"/>
        </w:numPr>
        <w:pStyle w:val="Compact"/>
      </w:pPr>
      <w:r>
        <w:rPr>
          <w:bCs/>
          <w:b/>
        </w:rPr>
        <w:t xml:space="preserve">Business Overview</w:t>
      </w:r>
    </w:p>
    <w:p>
      <w:pPr>
        <w:numPr>
          <w:ilvl w:val="1"/>
          <w:numId w:val="1002"/>
        </w:numPr>
        <w:pStyle w:val="Compact"/>
      </w:pPr>
      <w:r>
        <w:t xml:space="preserve">Legal entity name, trade names and addresses of all sites within the QMS scope.</w:t>
      </w:r>
    </w:p>
    <w:p>
      <w:pPr>
        <w:numPr>
          <w:ilvl w:val="1"/>
          <w:numId w:val="1002"/>
        </w:numPr>
        <w:pStyle w:val="Compact"/>
      </w:pPr>
      <w:r>
        <w:t xml:space="preserve">Description of products and services provided.</w:t>
      </w:r>
    </w:p>
    <w:p>
      <w:pPr>
        <w:numPr>
          <w:ilvl w:val="1"/>
          <w:numId w:val="1002"/>
        </w:numPr>
        <w:pStyle w:val="Compact"/>
      </w:pPr>
      <w:r>
        <w:t xml:space="preserve">Number of employees and organizational structure (departments, functions).</w:t>
      </w:r>
    </w:p>
    <w:p>
      <w:pPr>
        <w:numPr>
          <w:ilvl w:val="1"/>
          <w:numId w:val="1002"/>
        </w:numPr>
        <w:pStyle w:val="Compact"/>
      </w:pPr>
      <w:r>
        <w:t xml:space="preserve">Contact details for the primary QMS representative and top management.</w:t>
      </w:r>
    </w:p>
    <w:p>
      <w:pPr>
        <w:numPr>
          <w:ilvl w:val="0"/>
          <w:numId w:val="1001"/>
        </w:numPr>
        <w:pStyle w:val="Compact"/>
      </w:pPr>
      <w:r>
        <w:rPr>
          <w:bCs/>
          <w:b/>
        </w:rPr>
        <w:t xml:space="preserve">Scope and Context of the Organization</w:t>
      </w:r>
    </w:p>
    <w:p>
      <w:pPr>
        <w:numPr>
          <w:ilvl w:val="1"/>
          <w:numId w:val="1003"/>
        </w:numPr>
        <w:pStyle w:val="Compact"/>
      </w:pPr>
      <w:r>
        <w:t xml:space="preserve">Intended scope of the QMS (e.g.,</w:t>
      </w:r>
      <w:r>
        <w:t xml:space="preserve"> </w:t>
      </w:r>
      <w:r>
        <w:t xml:space="preserve">“</w:t>
      </w:r>
      <w:r>
        <w:t xml:space="preserve">Design, manufacture and sale of electronic devices at the Syracuse facility</w:t>
      </w:r>
      <w:r>
        <w:t xml:space="preserve">”</w:t>
      </w:r>
      <w:r>
        <w:t xml:space="preserve">).</w:t>
      </w:r>
    </w:p>
    <w:p>
      <w:pPr>
        <w:numPr>
          <w:ilvl w:val="1"/>
          <w:numId w:val="1003"/>
        </w:numPr>
        <w:pStyle w:val="Compact"/>
      </w:pPr>
      <w:r>
        <w:t xml:space="preserve">Internal and external issues affecting the organization (e.g., market competition, regulatory changes, technology).</w:t>
      </w:r>
    </w:p>
    <w:p>
      <w:pPr>
        <w:numPr>
          <w:ilvl w:val="1"/>
          <w:numId w:val="1003"/>
        </w:numPr>
        <w:pStyle w:val="Compact"/>
      </w:pPr>
      <w:r>
        <w:t xml:space="preserve">List of interested parties (customers, suppliers, regulators, employees, shareholders) and their needs and expectations.</w:t>
      </w:r>
    </w:p>
    <w:p>
      <w:pPr>
        <w:numPr>
          <w:ilvl w:val="1"/>
          <w:numId w:val="1003"/>
        </w:numPr>
        <w:pStyle w:val="Compact"/>
      </w:pPr>
      <w:r>
        <w:t xml:space="preserve">Any exclusions from ISO 9001 (such as clause 8.3 design and development) and justification.</w:t>
      </w:r>
    </w:p>
    <w:p>
      <w:pPr>
        <w:numPr>
          <w:ilvl w:val="0"/>
          <w:numId w:val="1001"/>
        </w:numPr>
        <w:pStyle w:val="Compact"/>
      </w:pPr>
      <w:r>
        <w:rPr>
          <w:bCs/>
          <w:b/>
        </w:rPr>
        <w:t xml:space="preserve">Processes and Interactions</w:t>
      </w:r>
    </w:p>
    <w:p>
      <w:pPr>
        <w:numPr>
          <w:ilvl w:val="1"/>
          <w:numId w:val="1004"/>
        </w:numPr>
        <w:pStyle w:val="Compact"/>
      </w:pPr>
      <w:r>
        <w:t xml:space="preserve">List of business processes (e.g., sales, purchasing, manufacturing, warehousing, engineering, customer service).</w:t>
      </w:r>
    </w:p>
    <w:p>
      <w:pPr>
        <w:numPr>
          <w:ilvl w:val="1"/>
          <w:numId w:val="1004"/>
        </w:numPr>
        <w:pStyle w:val="Compact"/>
      </w:pPr>
      <w:r>
        <w:t xml:space="preserve">For each process: purpose, inputs, outputs, key activities, process owner, and other departments involved.</w:t>
      </w:r>
    </w:p>
    <w:p>
      <w:pPr>
        <w:numPr>
          <w:ilvl w:val="1"/>
          <w:numId w:val="1004"/>
        </w:numPr>
        <w:pStyle w:val="Compact"/>
      </w:pPr>
      <w:r>
        <w:t xml:space="preserve">Identification of outsourced processes and external providers.</w:t>
      </w:r>
    </w:p>
    <w:p>
      <w:pPr>
        <w:numPr>
          <w:ilvl w:val="0"/>
          <w:numId w:val="1001"/>
        </w:numPr>
        <w:pStyle w:val="Compact"/>
      </w:pPr>
      <w:r>
        <w:rPr>
          <w:bCs/>
          <w:b/>
        </w:rPr>
        <w:t xml:space="preserve">Risk and Opportunity Management</w:t>
      </w:r>
    </w:p>
    <w:p>
      <w:pPr>
        <w:numPr>
          <w:ilvl w:val="1"/>
          <w:numId w:val="1005"/>
        </w:numPr>
        <w:pStyle w:val="Compact"/>
      </w:pPr>
      <w:r>
        <w:t xml:space="preserve">Major risks and opportunities associated with each process (e.g., supply interruption, technology obsolescence, customer retention).</w:t>
      </w:r>
    </w:p>
    <w:p>
      <w:pPr>
        <w:numPr>
          <w:ilvl w:val="1"/>
          <w:numId w:val="1005"/>
        </w:numPr>
        <w:pStyle w:val="Compact"/>
      </w:pPr>
      <w:r>
        <w:t xml:space="preserve">Existing controls or actions to address risks and opportunities.</w:t>
      </w:r>
    </w:p>
    <w:p>
      <w:pPr>
        <w:numPr>
          <w:ilvl w:val="1"/>
          <w:numId w:val="1005"/>
        </w:numPr>
        <w:pStyle w:val="Compact"/>
      </w:pPr>
      <w:r>
        <w:t xml:space="preserve">Preferred risk matrix (e.g., likelihood × impact rating).</w:t>
      </w:r>
    </w:p>
    <w:p>
      <w:pPr>
        <w:numPr>
          <w:ilvl w:val="0"/>
          <w:numId w:val="1001"/>
        </w:numPr>
        <w:pStyle w:val="Compact"/>
      </w:pPr>
      <w:r>
        <w:rPr>
          <w:bCs/>
          <w:b/>
        </w:rPr>
        <w:t xml:space="preserve">Interested Parties and Compliance Obligations</w:t>
      </w:r>
    </w:p>
    <w:p>
      <w:pPr>
        <w:numPr>
          <w:ilvl w:val="1"/>
          <w:numId w:val="1006"/>
        </w:numPr>
        <w:pStyle w:val="Compact"/>
      </w:pPr>
      <w:r>
        <w:t xml:space="preserve">Applicable legal, regulatory or contractual requirements (industry standards, customer specifications, statutory licences).</w:t>
      </w:r>
    </w:p>
    <w:p>
      <w:pPr>
        <w:numPr>
          <w:ilvl w:val="1"/>
          <w:numId w:val="1006"/>
        </w:numPr>
        <w:pStyle w:val="Compact"/>
      </w:pPr>
      <w:r>
        <w:t xml:space="preserve">Environmental, safety or sector‑specific regulations that affect your products or services.</w:t>
      </w:r>
    </w:p>
    <w:p>
      <w:pPr>
        <w:numPr>
          <w:ilvl w:val="1"/>
          <w:numId w:val="1006"/>
        </w:numPr>
        <w:pStyle w:val="Compact"/>
      </w:pPr>
      <w:r>
        <w:t xml:space="preserve">Certification or licence numbers where relevant.</w:t>
      </w:r>
    </w:p>
    <w:p>
      <w:pPr>
        <w:numPr>
          <w:ilvl w:val="0"/>
          <w:numId w:val="1001"/>
        </w:numPr>
        <w:pStyle w:val="Compact"/>
      </w:pPr>
      <w:r>
        <w:rPr>
          <w:bCs/>
          <w:b/>
        </w:rPr>
        <w:t xml:space="preserve">Customer Requirements and Communication</w:t>
      </w:r>
    </w:p>
    <w:p>
      <w:pPr>
        <w:numPr>
          <w:ilvl w:val="1"/>
          <w:numId w:val="1007"/>
        </w:numPr>
        <w:pStyle w:val="Compact"/>
      </w:pPr>
      <w:r>
        <w:t xml:space="preserve">How your organization determines customer requirements (contracts, purchase orders, verbal agreements).</w:t>
      </w:r>
    </w:p>
    <w:p>
      <w:pPr>
        <w:numPr>
          <w:ilvl w:val="1"/>
          <w:numId w:val="1007"/>
        </w:numPr>
        <w:pStyle w:val="Compact"/>
      </w:pPr>
      <w:r>
        <w:t xml:space="preserve">Channels used for customer communication (email, phone, customer portal).</w:t>
      </w:r>
    </w:p>
    <w:p>
      <w:pPr>
        <w:numPr>
          <w:ilvl w:val="1"/>
          <w:numId w:val="1007"/>
        </w:numPr>
        <w:pStyle w:val="Compact"/>
      </w:pPr>
      <w:r>
        <w:t xml:space="preserve">Methods to capture and review changes to requirements.</w:t>
      </w:r>
    </w:p>
    <w:p>
      <w:pPr>
        <w:numPr>
          <w:ilvl w:val="0"/>
          <w:numId w:val="1001"/>
        </w:numPr>
        <w:pStyle w:val="Compact"/>
      </w:pPr>
      <w:r>
        <w:rPr>
          <w:bCs/>
          <w:b/>
        </w:rPr>
        <w:t xml:space="preserve">Competence, Training and Awareness</w:t>
      </w:r>
    </w:p>
    <w:p>
      <w:pPr>
        <w:numPr>
          <w:ilvl w:val="1"/>
          <w:numId w:val="1008"/>
        </w:numPr>
        <w:pStyle w:val="Compact"/>
      </w:pPr>
      <w:r>
        <w:t xml:space="preserve">Key roles and required competencies/qualifications.</w:t>
      </w:r>
    </w:p>
    <w:p>
      <w:pPr>
        <w:numPr>
          <w:ilvl w:val="1"/>
          <w:numId w:val="1008"/>
        </w:numPr>
        <w:pStyle w:val="Compact"/>
      </w:pPr>
      <w:r>
        <w:t xml:space="preserve">Existing training programmes and records.</w:t>
      </w:r>
    </w:p>
    <w:p>
      <w:pPr>
        <w:numPr>
          <w:ilvl w:val="1"/>
          <w:numId w:val="1008"/>
        </w:numPr>
        <w:pStyle w:val="Compact"/>
      </w:pPr>
      <w:r>
        <w:t xml:space="preserve">Methods used to evaluate competence and plan future training.</w:t>
      </w:r>
    </w:p>
    <w:p>
      <w:pPr>
        <w:numPr>
          <w:ilvl w:val="0"/>
          <w:numId w:val="1001"/>
        </w:numPr>
        <w:pStyle w:val="Compact"/>
      </w:pPr>
      <w:r>
        <w:rPr>
          <w:bCs/>
          <w:b/>
        </w:rPr>
        <w:t xml:space="preserve">Infrastructure, Equipment and Maintenance</w:t>
      </w:r>
    </w:p>
    <w:p>
      <w:pPr>
        <w:numPr>
          <w:ilvl w:val="1"/>
          <w:numId w:val="1009"/>
        </w:numPr>
        <w:pStyle w:val="Compact"/>
      </w:pPr>
      <w:r>
        <w:t xml:space="preserve">List of equipment that requires maintenance or calibration (e.g., measuring instruments, production machinery, software).</w:t>
      </w:r>
    </w:p>
    <w:p>
      <w:pPr>
        <w:numPr>
          <w:ilvl w:val="1"/>
          <w:numId w:val="1009"/>
        </w:numPr>
        <w:pStyle w:val="Compact"/>
      </w:pPr>
      <w:r>
        <w:t xml:space="preserve">Calibration/maintenance frequency and responsible persons.</w:t>
      </w:r>
    </w:p>
    <w:p>
      <w:pPr>
        <w:numPr>
          <w:ilvl w:val="1"/>
          <w:numId w:val="1009"/>
        </w:numPr>
        <w:pStyle w:val="Compact"/>
      </w:pPr>
      <w:r>
        <w:t xml:space="preserve">External service providers used for calibration or maintenance.</w:t>
      </w:r>
    </w:p>
    <w:p>
      <w:pPr>
        <w:numPr>
          <w:ilvl w:val="0"/>
          <w:numId w:val="1001"/>
        </w:numPr>
        <w:pStyle w:val="Compact"/>
      </w:pPr>
      <w:r>
        <w:rPr>
          <w:bCs/>
          <w:b/>
        </w:rPr>
        <w:t xml:space="preserve">Externally Provided Processes and Suppliers</w:t>
      </w:r>
    </w:p>
    <w:p>
      <w:pPr>
        <w:numPr>
          <w:ilvl w:val="1"/>
          <w:numId w:val="1010"/>
        </w:numPr>
        <w:pStyle w:val="Compact"/>
      </w:pPr>
      <w:r>
        <w:t xml:space="preserve">List of current suppliers and subcontractors, including contact details.</w:t>
      </w:r>
    </w:p>
    <w:p>
      <w:pPr>
        <w:numPr>
          <w:ilvl w:val="1"/>
          <w:numId w:val="1010"/>
        </w:numPr>
        <w:pStyle w:val="Compact"/>
      </w:pPr>
      <w:r>
        <w:t xml:space="preserve">Criteria used to evaluate and select suppliers (quality, delivery, cost, certifications).</w:t>
      </w:r>
    </w:p>
    <w:p>
      <w:pPr>
        <w:numPr>
          <w:ilvl w:val="1"/>
          <w:numId w:val="1010"/>
        </w:numPr>
        <w:pStyle w:val="Compact"/>
      </w:pPr>
      <w:r>
        <w:t xml:space="preserve">Any outsourced processes (e.g., logistics, manufacturing, design).</w:t>
      </w:r>
    </w:p>
    <w:p>
      <w:pPr>
        <w:numPr>
          <w:ilvl w:val="0"/>
          <w:numId w:val="1001"/>
        </w:numPr>
        <w:pStyle w:val="Compact"/>
      </w:pPr>
      <w:r>
        <w:rPr>
          <w:bCs/>
          <w:b/>
        </w:rPr>
        <w:t xml:space="preserve">Design and Development (if applicable)</w:t>
      </w:r>
    </w:p>
    <w:p>
      <w:pPr>
        <w:numPr>
          <w:ilvl w:val="1"/>
          <w:numId w:val="1011"/>
        </w:numPr>
        <w:pStyle w:val="Compact"/>
      </w:pPr>
      <w:r>
        <w:t xml:space="preserve">Description of design and development activities.</w:t>
      </w:r>
    </w:p>
    <w:p>
      <w:pPr>
        <w:numPr>
          <w:ilvl w:val="1"/>
          <w:numId w:val="1011"/>
        </w:numPr>
        <w:pStyle w:val="Compact"/>
      </w:pPr>
      <w:r>
        <w:t xml:space="preserve">Stages in the design process (planning, inputs, outputs, reviews, verification, validation).</w:t>
      </w:r>
    </w:p>
    <w:p>
      <w:pPr>
        <w:numPr>
          <w:ilvl w:val="1"/>
          <w:numId w:val="1011"/>
        </w:numPr>
        <w:pStyle w:val="Compact"/>
      </w:pPr>
      <w:r>
        <w:t xml:space="preserve">Roles and responsibilities within the design process.</w:t>
      </w:r>
    </w:p>
    <w:p>
      <w:pPr>
        <w:numPr>
          <w:ilvl w:val="0"/>
          <w:numId w:val="1001"/>
        </w:numPr>
        <w:pStyle w:val="Compact"/>
      </w:pPr>
      <w:r>
        <w:rPr>
          <w:bCs/>
          <w:b/>
        </w:rPr>
        <w:t xml:space="preserve">Production and Service Provision</w:t>
      </w:r>
    </w:p>
    <w:p>
      <w:pPr>
        <w:numPr>
          <w:ilvl w:val="1"/>
          <w:numId w:val="1012"/>
        </w:numPr>
        <w:pStyle w:val="Compact"/>
      </w:pPr>
      <w:r>
        <w:t xml:space="preserve">Description of production or service delivery methods.</w:t>
      </w:r>
    </w:p>
    <w:p>
      <w:pPr>
        <w:numPr>
          <w:ilvl w:val="1"/>
          <w:numId w:val="1012"/>
        </w:numPr>
        <w:pStyle w:val="Compact"/>
      </w:pPr>
      <w:r>
        <w:t xml:space="preserve">Work instructions, checklists or travellers used during production or service provision.</w:t>
      </w:r>
    </w:p>
    <w:p>
      <w:pPr>
        <w:numPr>
          <w:ilvl w:val="1"/>
          <w:numId w:val="1012"/>
        </w:numPr>
        <w:pStyle w:val="Compact"/>
      </w:pPr>
      <w:r>
        <w:t xml:space="preserve">Process parameters that need monitoring and measurement.</w:t>
      </w:r>
    </w:p>
    <w:p>
      <w:pPr>
        <w:numPr>
          <w:ilvl w:val="0"/>
          <w:numId w:val="1001"/>
        </w:numPr>
        <w:pStyle w:val="Compact"/>
      </w:pPr>
      <w:r>
        <w:rPr>
          <w:bCs/>
          <w:b/>
        </w:rPr>
        <w:t xml:space="preserve">Warehousing and Inventory Control (if applicable)</w:t>
      </w:r>
    </w:p>
    <w:p>
      <w:pPr>
        <w:numPr>
          <w:ilvl w:val="1"/>
          <w:numId w:val="1013"/>
        </w:numPr>
        <w:pStyle w:val="Compact"/>
      </w:pPr>
      <w:r>
        <w:t xml:space="preserve">Description of warehousing/storage facilities.</w:t>
      </w:r>
    </w:p>
    <w:p>
      <w:pPr>
        <w:numPr>
          <w:ilvl w:val="1"/>
          <w:numId w:val="1013"/>
        </w:numPr>
        <w:pStyle w:val="Compact"/>
      </w:pPr>
      <w:r>
        <w:t xml:space="preserve">Inventory control methods (FIFO, barcode scanning).</w:t>
      </w:r>
    </w:p>
    <w:p>
      <w:pPr>
        <w:numPr>
          <w:ilvl w:val="1"/>
          <w:numId w:val="1013"/>
        </w:numPr>
        <w:pStyle w:val="Compact"/>
      </w:pPr>
      <w:r>
        <w:t xml:space="preserve">Environmental controls or security measures.</w:t>
      </w:r>
    </w:p>
    <w:p>
      <w:pPr>
        <w:numPr>
          <w:ilvl w:val="0"/>
          <w:numId w:val="1001"/>
        </w:numPr>
        <w:pStyle w:val="Compact"/>
      </w:pPr>
      <w:r>
        <w:rPr>
          <w:bCs/>
          <w:b/>
        </w:rPr>
        <w:t xml:space="preserve">Nonconforming Outputs and Corrective Action</w:t>
      </w:r>
    </w:p>
    <w:p>
      <w:pPr>
        <w:numPr>
          <w:ilvl w:val="1"/>
          <w:numId w:val="1014"/>
        </w:numPr>
        <w:pStyle w:val="Compact"/>
      </w:pPr>
      <w:r>
        <w:t xml:space="preserve">Typical nonconformities encountered in your products/services.</w:t>
      </w:r>
    </w:p>
    <w:p>
      <w:pPr>
        <w:numPr>
          <w:ilvl w:val="1"/>
          <w:numId w:val="1014"/>
        </w:numPr>
        <w:pStyle w:val="Compact"/>
      </w:pPr>
      <w:r>
        <w:t xml:space="preserve">Methods for identifying, segregating and controlling nonconforming outputs.</w:t>
      </w:r>
    </w:p>
    <w:p>
      <w:pPr>
        <w:numPr>
          <w:ilvl w:val="1"/>
          <w:numId w:val="1014"/>
        </w:numPr>
        <w:pStyle w:val="Compact"/>
      </w:pPr>
      <w:r>
        <w:t xml:space="preserve">Root cause analysis techniques currently used.</w:t>
      </w:r>
    </w:p>
    <w:p>
      <w:pPr>
        <w:numPr>
          <w:ilvl w:val="0"/>
          <w:numId w:val="1001"/>
        </w:numPr>
        <w:pStyle w:val="Compact"/>
      </w:pPr>
      <w:r>
        <w:rPr>
          <w:bCs/>
          <w:b/>
        </w:rPr>
        <w:t xml:space="preserve">Customer Satisfaction and Feedback</w:t>
      </w:r>
    </w:p>
    <w:p>
      <w:pPr>
        <w:numPr>
          <w:ilvl w:val="1"/>
          <w:numId w:val="1015"/>
        </w:numPr>
        <w:pStyle w:val="Compact"/>
      </w:pPr>
      <w:r>
        <w:t xml:space="preserve">How customer satisfaction is measured (surveys, NPS, complaints analysis).</w:t>
      </w:r>
    </w:p>
    <w:p>
      <w:pPr>
        <w:numPr>
          <w:ilvl w:val="1"/>
          <w:numId w:val="1015"/>
        </w:numPr>
        <w:pStyle w:val="Compact"/>
      </w:pPr>
      <w:r>
        <w:t xml:space="preserve">Frequency of customer feedback collection and review.</w:t>
      </w:r>
    </w:p>
    <w:p>
      <w:pPr>
        <w:numPr>
          <w:ilvl w:val="1"/>
          <w:numId w:val="1015"/>
        </w:numPr>
        <w:pStyle w:val="Compact"/>
      </w:pPr>
      <w:r>
        <w:t xml:space="preserve">Targets or key performance indicators (KPIs) related to customer satisfaction.</w:t>
      </w:r>
    </w:p>
    <w:p>
      <w:pPr>
        <w:numPr>
          <w:ilvl w:val="0"/>
          <w:numId w:val="1001"/>
        </w:numPr>
        <w:pStyle w:val="Compact"/>
      </w:pPr>
      <w:r>
        <w:rPr>
          <w:bCs/>
          <w:b/>
        </w:rPr>
        <w:t xml:space="preserve">Internal Audits and Management Review</w:t>
      </w:r>
    </w:p>
    <w:p>
      <w:pPr>
        <w:numPr>
          <w:ilvl w:val="1"/>
          <w:numId w:val="1016"/>
        </w:numPr>
        <w:pStyle w:val="Compact"/>
      </w:pPr>
      <w:r>
        <w:t xml:space="preserve">Planned frequency of internal audits.</w:t>
      </w:r>
    </w:p>
    <w:p>
      <w:pPr>
        <w:numPr>
          <w:ilvl w:val="1"/>
          <w:numId w:val="1016"/>
        </w:numPr>
        <w:pStyle w:val="Compact"/>
      </w:pPr>
      <w:r>
        <w:t xml:space="preserve">Preferred timing and participants for management review meetings.</w:t>
      </w:r>
    </w:p>
    <w:p>
      <w:pPr>
        <w:numPr>
          <w:ilvl w:val="1"/>
          <w:numId w:val="1016"/>
        </w:numPr>
        <w:pStyle w:val="Compact"/>
      </w:pPr>
      <w:r>
        <w:t xml:space="preserve">Existing checklists or audit tools used.</w:t>
      </w:r>
    </w:p>
    <w:p>
      <w:pPr>
        <w:numPr>
          <w:ilvl w:val="0"/>
          <w:numId w:val="1001"/>
        </w:numPr>
        <w:pStyle w:val="Compact"/>
      </w:pPr>
      <w:r>
        <w:rPr>
          <w:bCs/>
          <w:b/>
        </w:rPr>
        <w:t xml:space="preserve">Documented Information</w:t>
      </w:r>
    </w:p>
    <w:p>
      <w:pPr>
        <w:numPr>
          <w:ilvl w:val="1"/>
          <w:numId w:val="1017"/>
        </w:numPr>
        <w:pStyle w:val="Compact"/>
      </w:pPr>
      <w:r>
        <w:t xml:space="preserve">Current document control system (software, spreadsheets).</w:t>
      </w:r>
    </w:p>
    <w:p>
      <w:pPr>
        <w:numPr>
          <w:ilvl w:val="1"/>
          <w:numId w:val="1017"/>
        </w:numPr>
        <w:pStyle w:val="Compact"/>
      </w:pPr>
      <w:r>
        <w:t xml:space="preserve">Any existing procedures, forms or registers that need to be integrated.</w:t>
      </w:r>
    </w:p>
    <w:p>
      <w:pPr>
        <w:numPr>
          <w:ilvl w:val="1"/>
          <w:numId w:val="1017"/>
        </w:numPr>
        <w:pStyle w:val="Compact"/>
      </w:pPr>
      <w:r>
        <w:t xml:space="preserve">Specific numbering or naming conventions preferred for documents.</w:t>
      </w:r>
    </w:p>
    <w:p>
      <w:pPr>
        <w:numPr>
          <w:ilvl w:val="0"/>
          <w:numId w:val="1001"/>
        </w:numPr>
        <w:pStyle w:val="Compact"/>
      </w:pPr>
      <w:r>
        <w:rPr>
          <w:bCs/>
          <w:b/>
        </w:rPr>
        <w:t xml:space="preserve">Additional Business‑Specific Processes</w:t>
      </w:r>
    </w:p>
    <w:p>
      <w:pPr>
        <w:numPr>
          <w:ilvl w:val="1"/>
          <w:numId w:val="1018"/>
        </w:numPr>
        <w:pStyle w:val="Compact"/>
      </w:pPr>
      <w:r>
        <w:t xml:space="preserve">Any unique processes not already captured (e.g., research &amp; development, field service).</w:t>
      </w:r>
    </w:p>
    <w:p>
      <w:pPr>
        <w:numPr>
          <w:ilvl w:val="1"/>
          <w:numId w:val="1018"/>
        </w:numPr>
        <w:pStyle w:val="Compact"/>
      </w:pPr>
      <w:r>
        <w:t xml:space="preserve">Special customer or regulatory requirements.</w:t>
      </w:r>
    </w:p>
    <w:bookmarkEnd w:id="21"/>
    <w:bookmarkStart w:id="22" w:name="Xbda5231b8d2fa9db36af073217a2c1b2cabe84f"/>
    <w:p>
      <w:pPr>
        <w:pStyle w:val="Heading2"/>
      </w:pPr>
      <w:r>
        <w:t xml:space="preserve">Guidance for Completing the Questionnaire</w:t>
      </w:r>
    </w:p>
    <w:p>
      <w:pPr>
        <w:numPr>
          <w:ilvl w:val="0"/>
          <w:numId w:val="1019"/>
        </w:numPr>
        <w:pStyle w:val="Compact"/>
      </w:pPr>
      <w:r>
        <w:rPr>
          <w:bCs/>
          <w:b/>
        </w:rPr>
        <w:t xml:space="preserve">Be Specific:</w:t>
      </w:r>
      <w:r>
        <w:t xml:space="preserve"> </w:t>
      </w:r>
      <w:r>
        <w:t xml:space="preserve">When describing your processes or issues, provide enough detail so that an unfamiliar reader can understand how the process works. Avoid vague terms like</w:t>
      </w:r>
      <w:r>
        <w:t xml:space="preserve"> </w:t>
      </w:r>
      <w:r>
        <w:t xml:space="preserve">“</w:t>
      </w:r>
      <w:r>
        <w:t xml:space="preserve">we do quality checks</w:t>
      </w:r>
      <w:r>
        <w:t xml:space="preserve">”</w:t>
      </w:r>
      <w:r>
        <w:t xml:space="preserve"> </w:t>
      </w:r>
      <w:r>
        <w:t xml:space="preserve">– instead, specify what is checked, when and by whom.</w:t>
      </w:r>
    </w:p>
    <w:p>
      <w:pPr>
        <w:numPr>
          <w:ilvl w:val="0"/>
          <w:numId w:val="1019"/>
        </w:numPr>
        <w:pStyle w:val="Compact"/>
      </w:pPr>
      <w:r>
        <w:rPr>
          <w:bCs/>
          <w:b/>
        </w:rPr>
        <w:t xml:space="preserve">Use Real Examples:</w:t>
      </w:r>
      <w:r>
        <w:t xml:space="preserve"> </w:t>
      </w:r>
      <w:r>
        <w:t xml:space="preserve">For risks and opportunities, provide concrete scenarios that you have experienced or anticipate, rather than generic statements.</w:t>
      </w:r>
    </w:p>
    <w:p>
      <w:pPr>
        <w:numPr>
          <w:ilvl w:val="0"/>
          <w:numId w:val="1019"/>
        </w:numPr>
        <w:pStyle w:val="Compact"/>
      </w:pPr>
      <w:r>
        <w:rPr>
          <w:bCs/>
          <w:b/>
        </w:rPr>
        <w:t xml:space="preserve">Identify Responsibilities:</w:t>
      </w:r>
      <w:r>
        <w:t xml:space="preserve"> </w:t>
      </w:r>
      <w:r>
        <w:t xml:space="preserve">For each process or activity, indicate who is responsible. Use job titles rather than personal names (e.g.,</w:t>
      </w:r>
      <w:r>
        <w:t xml:space="preserve"> </w:t>
      </w:r>
      <w:r>
        <w:t xml:space="preserve">“</w:t>
      </w:r>
      <w:r>
        <w:t xml:space="preserve">Quality Manager</w:t>
      </w:r>
      <w:r>
        <w:t xml:space="preserve">”</w:t>
      </w:r>
      <w:r>
        <w:t xml:space="preserve"> </w:t>
      </w:r>
      <w:r>
        <w:t xml:space="preserve">instead of</w:t>
      </w:r>
      <w:r>
        <w:t xml:space="preserve"> </w:t>
      </w:r>
      <w:r>
        <w:t xml:space="preserve">“</w:t>
      </w:r>
      <w:r>
        <w:t xml:space="preserve">John</w:t>
      </w:r>
      <w:r>
        <w:t xml:space="preserve">”</w:t>
      </w:r>
      <w:r>
        <w:t xml:space="preserve">).</w:t>
      </w:r>
    </w:p>
    <w:p>
      <w:pPr>
        <w:numPr>
          <w:ilvl w:val="0"/>
          <w:numId w:val="1019"/>
        </w:numPr>
        <w:pStyle w:val="Compact"/>
      </w:pPr>
      <w:r>
        <w:rPr>
          <w:bCs/>
          <w:b/>
        </w:rPr>
        <w:t xml:space="preserve">Separate Applicable and Non‑Applicable Items:</w:t>
      </w:r>
      <w:r>
        <w:t xml:space="preserve"> </w:t>
      </w:r>
      <w:r>
        <w:t xml:space="preserve">If a section does not apply to your business (for example, design and development), state</w:t>
      </w:r>
      <w:r>
        <w:t xml:space="preserve"> </w:t>
      </w:r>
      <w:r>
        <w:t xml:space="preserve">“</w:t>
      </w:r>
      <w:r>
        <w:t xml:space="preserve">Not Applicable</w:t>
      </w:r>
      <w:r>
        <w:t xml:space="preserve">”</w:t>
      </w:r>
      <w:r>
        <w:t xml:space="preserve"> </w:t>
      </w:r>
      <w:r>
        <w:t xml:space="preserve">with a brief explanation.</w:t>
      </w:r>
    </w:p>
    <w:p>
      <w:pPr>
        <w:numPr>
          <w:ilvl w:val="0"/>
          <w:numId w:val="1019"/>
        </w:numPr>
        <w:pStyle w:val="Compact"/>
      </w:pPr>
      <w:r>
        <w:rPr>
          <w:bCs/>
          <w:b/>
        </w:rPr>
        <w:t xml:space="preserve">Provide Existing Documents:</w:t>
      </w:r>
      <w:r>
        <w:t xml:space="preserve"> </w:t>
      </w:r>
      <w:r>
        <w:t xml:space="preserve">If you already have policies, procedures or forms, supply them or describe their content so we can integrate them into the QMS.</w:t>
      </w:r>
    </w:p>
    <w:p>
      <w:pPr>
        <w:numPr>
          <w:ilvl w:val="0"/>
          <w:numId w:val="1019"/>
        </w:numPr>
        <w:pStyle w:val="Compact"/>
      </w:pPr>
      <w:r>
        <w:rPr>
          <w:bCs/>
          <w:b/>
        </w:rPr>
        <w:t xml:space="preserve">Prioritise Critical Risks:</w:t>
      </w:r>
      <w:r>
        <w:t xml:space="preserve"> </w:t>
      </w:r>
      <w:r>
        <w:t xml:space="preserve">Focus on risks that could significantly impact customer satisfaction, regulatory compliance or operational continuity.</w:t>
      </w:r>
    </w:p>
    <w:p>
      <w:pPr>
        <w:numPr>
          <w:ilvl w:val="0"/>
          <w:numId w:val="1019"/>
        </w:numPr>
        <w:pStyle w:val="Compact"/>
      </w:pPr>
      <w:r>
        <w:rPr>
          <w:bCs/>
          <w:b/>
        </w:rPr>
        <w:t xml:space="preserve">Think About Interested Parties:</w:t>
      </w:r>
      <w:r>
        <w:t xml:space="preserve"> </w:t>
      </w:r>
      <w:r>
        <w:t xml:space="preserve">Identify everyone who can affect or be affected by your QMS, even if they are not direct customers, such as neighbours, regulators and shareholders.</w:t>
      </w:r>
    </w:p>
    <w:p>
      <w:pPr>
        <w:numPr>
          <w:ilvl w:val="0"/>
          <w:numId w:val="1019"/>
        </w:numPr>
        <w:pStyle w:val="Compact"/>
      </w:pPr>
      <w:r>
        <w:rPr>
          <w:bCs/>
          <w:b/>
        </w:rPr>
        <w:t xml:space="preserve">Plan for Future Growth:</w:t>
      </w:r>
      <w:r>
        <w:t xml:space="preserve"> </w:t>
      </w:r>
      <w:r>
        <w:t xml:space="preserve">Consider how your processes might evolve. Providing insight into anticipated changes helps to design a QMS that remains effective over time.</w:t>
      </w:r>
    </w:p>
    <w:p>
      <w:pPr>
        <w:numPr>
          <w:ilvl w:val="0"/>
          <w:numId w:val="1019"/>
        </w:numPr>
        <w:pStyle w:val="Compact"/>
      </w:pPr>
      <w:r>
        <w:rPr>
          <w:bCs/>
          <w:b/>
        </w:rPr>
        <w:t xml:space="preserve">Ask Questions:</w:t>
      </w:r>
      <w:r>
        <w:t xml:space="preserve"> </w:t>
      </w:r>
      <w:r>
        <w:t xml:space="preserve">If you are unsure about any item, note your questions. Guidance will be provided during the customization process.</w:t>
      </w:r>
    </w:p>
    <w:p>
      <w:pPr>
        <w:pStyle w:val="FirstParagraph"/>
      </w:pPr>
      <w:r>
        <w:t xml:space="preserve">By completing this questionnaire thoroughly, you will help ensure that your customized QMS accurately reflects your operations, addresses relevant risks and meets ISO 9001:2015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2026-01-26T04:08:18Z</dcterms:created>
  <dcterms:modified xsi:type="dcterms:W3CDTF">2026-01-26T04:08:18Z</dcterms:modified>
</cp:coreProperties>
</file>

<file path=docProps/custom.xml><?xml version="1.0" encoding="utf-8"?>
<Properties xmlns="http://schemas.openxmlformats.org/officeDocument/2006/custom-properties" xmlns:vt="http://schemas.openxmlformats.org/officeDocument/2006/docPropsVTypes"/>
</file>